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E2" w:rsidRDefault="005238E2" w:rsidP="005238E2">
      <w:pPr>
        <w:pStyle w:val="NormalWeb"/>
        <w:spacing w:before="0" w:beforeAutospacing="0" w:after="0" w:afterAutospacing="0"/>
        <w:rPr>
          <w:b/>
          <w:sz w:val="16"/>
          <w:szCs w:val="16"/>
        </w:rPr>
      </w:pPr>
    </w:p>
    <w:p w:rsidR="005238E2" w:rsidRDefault="005238E2" w:rsidP="005238E2">
      <w:pPr>
        <w:pStyle w:val="NormalWeb"/>
        <w:spacing w:before="0" w:beforeAutospacing="0" w:after="0" w:afterAutospacing="0"/>
      </w:pPr>
      <w:r>
        <w:t xml:space="preserve">The following Income Statement and Operating Cash Flow information pertain to Receivership Inc.’s operations for the year ended December 31, 2014. </w:t>
      </w:r>
      <w:r w:rsidRPr="005238E2">
        <w:rPr>
          <w:highlight w:val="yellow"/>
        </w:rPr>
        <w:t xml:space="preserve">Prepare the net cash flow from </w:t>
      </w:r>
      <w:r w:rsidR="002155ED">
        <w:rPr>
          <w:highlight w:val="yellow"/>
        </w:rPr>
        <w:t xml:space="preserve">the </w:t>
      </w:r>
      <w:r w:rsidRPr="005238E2">
        <w:rPr>
          <w:highlight w:val="yellow"/>
        </w:rPr>
        <w:t xml:space="preserve">operating activities section of the cash flow statement </w:t>
      </w:r>
      <w:r w:rsidR="002155ED">
        <w:rPr>
          <w:highlight w:val="yellow"/>
        </w:rPr>
        <w:t xml:space="preserve">below </w:t>
      </w:r>
      <w:r w:rsidRPr="005238E2">
        <w:rPr>
          <w:highlight w:val="yellow"/>
        </w:rPr>
        <w:t xml:space="preserve">using the </w:t>
      </w:r>
      <w:r w:rsidRPr="002155ED">
        <w:rPr>
          <w:b/>
          <w:highlight w:val="yellow"/>
          <w:u w:val="single"/>
        </w:rPr>
        <w:t>direct method</w:t>
      </w:r>
      <w:r w:rsidRPr="005238E2">
        <w:rPr>
          <w:highlight w:val="yellow"/>
        </w:rPr>
        <w:t>.</w:t>
      </w:r>
    </w:p>
    <w:p w:rsidR="005238E2" w:rsidRDefault="005238E2" w:rsidP="005238E2">
      <w:pPr>
        <w:rPr>
          <w:sz w:val="16"/>
          <w:szCs w:val="16"/>
        </w:rPr>
      </w:pPr>
    </w:p>
    <w:p w:rsidR="005238E2" w:rsidRDefault="005238E2" w:rsidP="005238E2">
      <w:pPr>
        <w:pBdr>
          <w:top w:val="single" w:sz="12" w:space="1" w:color="auto"/>
        </w:pBdr>
        <w:tabs>
          <w:tab w:val="right" w:pos="5040"/>
        </w:tabs>
        <w:ind w:left="720" w:right="1260"/>
        <w:rPr>
          <w:sz w:val="16"/>
          <w:szCs w:val="16"/>
        </w:rPr>
      </w:pPr>
    </w:p>
    <w:p w:rsidR="005238E2" w:rsidRDefault="005238E2" w:rsidP="005238E2">
      <w:pPr>
        <w:ind w:left="720"/>
        <w:rPr>
          <w:b/>
          <w:bCs/>
        </w:rPr>
      </w:pPr>
      <w:r>
        <w:rPr>
          <w:b/>
          <w:bCs/>
        </w:rPr>
        <w:t>Income statement for the year ended December 31, 2014</w:t>
      </w:r>
      <w:bookmarkStart w:id="0" w:name="_GoBack"/>
      <w:bookmarkEnd w:id="0"/>
    </w:p>
    <w:p w:rsidR="005238E2" w:rsidRDefault="005238E2" w:rsidP="005238E2">
      <w:pPr>
        <w:tabs>
          <w:tab w:val="right" w:pos="5040"/>
        </w:tabs>
        <w:ind w:left="720" w:right="1260"/>
        <w:rPr>
          <w:sz w:val="16"/>
          <w:szCs w:val="16"/>
        </w:rPr>
      </w:pPr>
    </w:p>
    <w:p w:rsidR="005238E2" w:rsidRDefault="005238E2" w:rsidP="005238E2">
      <w:pPr>
        <w:pBdr>
          <w:top w:val="single" w:sz="8" w:space="1" w:color="auto"/>
        </w:pBdr>
        <w:tabs>
          <w:tab w:val="right" w:pos="5040"/>
        </w:tabs>
        <w:ind w:left="720" w:right="1260"/>
        <w:rPr>
          <w:sz w:val="16"/>
          <w:szCs w:val="16"/>
        </w:rPr>
      </w:pP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Revenues</w:t>
      </w:r>
      <w:r>
        <w:tab/>
      </w:r>
      <w:r>
        <w:tab/>
      </w:r>
      <w:r>
        <w:tab/>
        <w:t>1,328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  <w:rPr>
          <w:sz w:val="16"/>
          <w:szCs w:val="16"/>
        </w:rPr>
      </w:pP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COGS</w:t>
      </w:r>
      <w:r>
        <w:tab/>
      </w:r>
      <w:r>
        <w:tab/>
        <w:t>587 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Rent expenses</w:t>
      </w:r>
      <w:r>
        <w:tab/>
      </w:r>
      <w:r>
        <w:tab/>
        <w:t>152 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Wages expenses</w:t>
      </w:r>
      <w:r>
        <w:tab/>
      </w:r>
      <w:r>
        <w:tab/>
        <w:t>136 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Insurance expenses</w:t>
      </w:r>
      <w:r>
        <w:tab/>
      </w:r>
      <w:r>
        <w:tab/>
        <w:t>53 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Other SG&amp;A (includes depreciation expenses)</w:t>
      </w:r>
      <w:r>
        <w:tab/>
      </w:r>
      <w:r>
        <w:tab/>
        <w:t>198 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Interest expenses</w:t>
      </w:r>
      <w:r>
        <w:tab/>
      </w:r>
      <w:r>
        <w:tab/>
        <w:t>30 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Gain on sale of asset</w:t>
      </w:r>
      <w:r>
        <w:tab/>
      </w:r>
      <w:r>
        <w:rPr>
          <w:u w:val="single"/>
        </w:rPr>
        <w:tab/>
        <w:t>(5)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  <w:rPr>
          <w:u w:val="single"/>
        </w:rPr>
      </w:pPr>
      <w:r>
        <w:tab/>
      </w:r>
      <w:r>
        <w:tab/>
      </w:r>
      <w:r>
        <w:rPr>
          <w:u w:val="single"/>
        </w:rPr>
        <w:tab/>
        <w:t>1,151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Income before tax</w:t>
      </w:r>
      <w:r>
        <w:tab/>
      </w:r>
      <w:r>
        <w:tab/>
      </w:r>
      <w:r>
        <w:tab/>
        <w:t>177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Tax</w:t>
      </w:r>
      <w:r>
        <w:tab/>
      </w:r>
      <w:r>
        <w:tab/>
      </w:r>
      <w:r>
        <w:rPr>
          <w:u w:val="single"/>
        </w:rPr>
        <w:tab/>
        <w:t>62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Net income</w:t>
      </w:r>
      <w:r>
        <w:tab/>
      </w:r>
      <w:r>
        <w:tab/>
      </w:r>
      <w:r>
        <w:rPr>
          <w:u w:val="double"/>
        </w:rPr>
        <w:tab/>
        <w:t>115</w:t>
      </w:r>
    </w:p>
    <w:p w:rsidR="005238E2" w:rsidRDefault="005238E2" w:rsidP="005238E2">
      <w:pPr>
        <w:tabs>
          <w:tab w:val="right" w:pos="5040"/>
        </w:tabs>
        <w:ind w:left="720" w:right="1260"/>
        <w:rPr>
          <w:sz w:val="16"/>
          <w:szCs w:val="16"/>
        </w:rPr>
      </w:pPr>
    </w:p>
    <w:p w:rsidR="005238E2" w:rsidRDefault="005238E2" w:rsidP="005238E2">
      <w:pPr>
        <w:pBdr>
          <w:top w:val="single" w:sz="12" w:space="1" w:color="auto"/>
        </w:pBdr>
        <w:tabs>
          <w:tab w:val="right" w:pos="5040"/>
        </w:tabs>
        <w:ind w:left="720" w:right="1260"/>
        <w:rPr>
          <w:sz w:val="16"/>
          <w:szCs w:val="16"/>
        </w:rPr>
      </w:pPr>
    </w:p>
    <w:p w:rsidR="005238E2" w:rsidRDefault="005238E2" w:rsidP="005238E2">
      <w:pPr>
        <w:ind w:left="720"/>
        <w:rPr>
          <w:sz w:val="16"/>
          <w:szCs w:val="16"/>
        </w:rPr>
      </w:pPr>
    </w:p>
    <w:p w:rsidR="005238E2" w:rsidRDefault="005238E2" w:rsidP="005238E2">
      <w:pPr>
        <w:pBdr>
          <w:top w:val="single" w:sz="12" w:space="1" w:color="auto"/>
        </w:pBdr>
        <w:tabs>
          <w:tab w:val="right" w:pos="5040"/>
        </w:tabs>
        <w:ind w:left="720" w:right="1260"/>
        <w:rPr>
          <w:sz w:val="16"/>
          <w:szCs w:val="16"/>
        </w:rPr>
      </w:pPr>
    </w:p>
    <w:p w:rsidR="005238E2" w:rsidRDefault="005238E2" w:rsidP="005238E2">
      <w:pPr>
        <w:pBdr>
          <w:top w:val="single" w:sz="12" w:space="1" w:color="auto"/>
        </w:pBdr>
        <w:tabs>
          <w:tab w:val="right" w:pos="5040"/>
        </w:tabs>
        <w:ind w:left="720" w:right="1260"/>
      </w:pPr>
      <w:r>
        <w:rPr>
          <w:b/>
          <w:bCs/>
        </w:rPr>
        <w:t>Cash flow provided by operating activities (indirect method), for the year ended December 31, 2014</w:t>
      </w:r>
    </w:p>
    <w:p w:rsidR="005238E2" w:rsidRDefault="005238E2" w:rsidP="005238E2">
      <w:pPr>
        <w:tabs>
          <w:tab w:val="right" w:pos="5040"/>
        </w:tabs>
        <w:ind w:left="720" w:right="1260"/>
        <w:rPr>
          <w:sz w:val="16"/>
          <w:szCs w:val="16"/>
        </w:rPr>
      </w:pPr>
    </w:p>
    <w:p w:rsidR="005238E2" w:rsidRDefault="005238E2" w:rsidP="005238E2">
      <w:pPr>
        <w:pBdr>
          <w:top w:val="single" w:sz="8" w:space="1" w:color="auto"/>
        </w:pBdr>
        <w:tabs>
          <w:tab w:val="right" w:pos="5040"/>
        </w:tabs>
        <w:ind w:left="720" w:right="1260"/>
        <w:rPr>
          <w:sz w:val="16"/>
          <w:szCs w:val="16"/>
        </w:rPr>
      </w:pP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Net income</w:t>
      </w:r>
      <w:r>
        <w:tab/>
      </w:r>
      <w:r>
        <w:tab/>
      </w:r>
      <w:r>
        <w:tab/>
        <w:t>115 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Depreciation</w:t>
      </w:r>
      <w:r>
        <w:tab/>
      </w:r>
      <w:r>
        <w:tab/>
      </w:r>
      <w:r>
        <w:tab/>
        <w:t>32 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Gain on sale of asset</w:t>
      </w:r>
      <w:r>
        <w:tab/>
      </w:r>
      <w:r>
        <w:tab/>
      </w:r>
      <w:r>
        <w:rPr>
          <w:u w:val="single"/>
        </w:rPr>
        <w:tab/>
        <w:t>(5)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ab/>
      </w:r>
      <w:r>
        <w:tab/>
      </w:r>
      <w:r>
        <w:tab/>
        <w:t>142 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Increases/decreases in A/R</w:t>
      </w:r>
      <w:r>
        <w:tab/>
      </w:r>
      <w:r>
        <w:tab/>
        <w:t>26 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Inventories</w:t>
      </w:r>
      <w:r>
        <w:tab/>
      </w:r>
      <w:r>
        <w:tab/>
        <w:t>(35)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Prepaid rent</w:t>
      </w:r>
      <w:r>
        <w:tab/>
      </w:r>
      <w:r>
        <w:tab/>
        <w:t>13 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A/P</w:t>
      </w:r>
      <w:r>
        <w:tab/>
      </w:r>
      <w:r>
        <w:tab/>
        <w:t>28 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Wages payable</w:t>
      </w:r>
      <w:r>
        <w:tab/>
      </w:r>
      <w:r>
        <w:tab/>
        <w:t>(20)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Tax payable</w:t>
      </w:r>
      <w:r>
        <w:tab/>
      </w:r>
      <w:r>
        <w:tab/>
        <w:t>5 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Interest payable</w:t>
      </w:r>
      <w:r>
        <w:tab/>
      </w:r>
      <w:r>
        <w:tab/>
        <w:t>(2)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Advances from customers</w:t>
      </w:r>
      <w:r>
        <w:tab/>
      </w:r>
      <w:r>
        <w:tab/>
        <w:t>(3)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</w:pPr>
      <w:r>
        <w:t>Other accrued SG&amp;A</w:t>
      </w:r>
      <w:r>
        <w:tab/>
      </w:r>
      <w:r>
        <w:rPr>
          <w:u w:val="single"/>
        </w:rPr>
        <w:tab/>
        <w:t>5</w:t>
      </w:r>
      <w:r>
        <w:t> 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  <w:rPr>
          <w:u w:val="single"/>
        </w:rPr>
      </w:pPr>
      <w:r>
        <w:tab/>
      </w:r>
      <w:r>
        <w:tab/>
      </w:r>
      <w:r>
        <w:rPr>
          <w:u w:val="single"/>
        </w:rPr>
        <w:tab/>
        <w:t>17</w:t>
      </w:r>
    </w:p>
    <w:p w:rsidR="005238E2" w:rsidRDefault="005238E2" w:rsidP="005238E2">
      <w:pPr>
        <w:tabs>
          <w:tab w:val="right" w:pos="5940"/>
          <w:tab w:val="right" w:pos="6480"/>
          <w:tab w:val="right" w:pos="7380"/>
          <w:tab w:val="right" w:pos="8100"/>
        </w:tabs>
        <w:ind w:left="720"/>
        <w:rPr>
          <w:u w:val="double"/>
        </w:rPr>
      </w:pPr>
      <w:r>
        <w:t>Net cash provided by operating activities</w:t>
      </w:r>
      <w:r>
        <w:tab/>
      </w:r>
      <w:r>
        <w:tab/>
      </w:r>
      <w:r>
        <w:rPr>
          <w:u w:val="double"/>
        </w:rPr>
        <w:tab/>
        <w:t>159</w:t>
      </w:r>
    </w:p>
    <w:p w:rsidR="00AC0C04" w:rsidRDefault="00AC0C04"/>
    <w:sectPr w:rsidR="00AC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E2"/>
    <w:rsid w:val="002155ED"/>
    <w:rsid w:val="005238E2"/>
    <w:rsid w:val="00A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C8204-593F-410A-B79B-8340373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238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Miller Sports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Denae Johnson</dc:creator>
  <cp:keywords/>
  <dc:description/>
  <cp:lastModifiedBy>Denae Johnson</cp:lastModifiedBy>
  <cp:revision>2</cp:revision>
  <dcterms:created xsi:type="dcterms:W3CDTF">2017-06-07T13:42:00Z</dcterms:created>
  <dcterms:modified xsi:type="dcterms:W3CDTF">2017-06-07T13:47:00Z</dcterms:modified>
</cp:coreProperties>
</file>